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1C" w:rsidRPr="00A0541C" w:rsidRDefault="00A0541C" w:rsidP="00A0541C">
      <w:pPr>
        <w:rPr>
          <w:b/>
          <w:bCs/>
          <w:sz w:val="36"/>
          <w:szCs w:val="36"/>
        </w:rPr>
      </w:pPr>
      <w:r>
        <w:rPr>
          <w:b/>
          <w:bCs/>
          <w:noProof/>
          <w:sz w:val="36"/>
          <w:szCs w:val="36"/>
        </w:rPr>
        <mc:AlternateContent>
          <mc:Choice Requires="wps">
            <w:drawing>
              <wp:anchor distT="0" distB="0" distL="114300" distR="114300" simplePos="0" relativeHeight="251661312" behindDoc="0" locked="0" layoutInCell="1" allowOverlap="1" wp14:anchorId="26526589" wp14:editId="420DF922">
                <wp:simplePos x="0" y="0"/>
                <wp:positionH relativeFrom="margin">
                  <wp:posOffset>4716780</wp:posOffset>
                </wp:positionH>
                <wp:positionV relativeFrom="paragraph">
                  <wp:posOffset>-243840</wp:posOffset>
                </wp:positionV>
                <wp:extent cx="6210300" cy="1127760"/>
                <wp:effectExtent l="0" t="0" r="0" b="0"/>
                <wp:wrapNone/>
                <wp:docPr id="2" name="Isosceles Triangle 2"/>
                <wp:cNvGraphicFramePr/>
                <a:graphic xmlns:a="http://schemas.openxmlformats.org/drawingml/2006/main">
                  <a:graphicData uri="http://schemas.microsoft.com/office/word/2010/wordprocessingShape">
                    <wps:wsp>
                      <wps:cNvSpPr/>
                      <wps:spPr>
                        <a:xfrm rot="10800000">
                          <a:off x="0" y="0"/>
                          <a:ext cx="6210300" cy="1127760"/>
                        </a:xfrm>
                        <a:prstGeom prst="triangle">
                          <a:avLst/>
                        </a:prstGeom>
                        <a:solidFill>
                          <a:schemeClr val="accent1">
                            <a:lumMod val="60000"/>
                            <a:lumOff val="4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7D5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71.4pt;margin-top:-19.2pt;width:489pt;height:88.8pt;rotation:18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" fillcolor="#8eaadb [1940]" stroked="f" strokeweight="1pt">
                <w10:wrap anchorx="margin"/>
              </v:shape>
            </w:pict>
          </mc:Fallback>
        </mc:AlternateContent>
      </w:r>
      <w:r>
        <w:rPr>
          <w:b/>
          <w:bCs/>
          <w:noProof/>
          <w:sz w:val="36"/>
          <w:szCs w:val="36"/>
        </w:rPr>
        <mc:AlternateContent>
          <mc:Choice Requires="wps">
            <w:drawing>
              <wp:anchor distT="0" distB="0" distL="114300" distR="114300" simplePos="0" relativeHeight="251663360" behindDoc="0" locked="0" layoutInCell="1" allowOverlap="1" wp14:anchorId="26ED70CB" wp14:editId="7E0CE4DF">
                <wp:simplePos x="0" y="0"/>
                <wp:positionH relativeFrom="margin">
                  <wp:posOffset>4732020</wp:posOffset>
                </wp:positionH>
                <wp:positionV relativeFrom="paragraph">
                  <wp:posOffset>-669290</wp:posOffset>
                </wp:positionV>
                <wp:extent cx="6210300" cy="1127760"/>
                <wp:effectExtent l="0" t="0" r="0" b="0"/>
                <wp:wrapNone/>
                <wp:docPr id="3" name="Isosceles Triangle 3"/>
                <wp:cNvGraphicFramePr/>
                <a:graphic xmlns:a="http://schemas.openxmlformats.org/drawingml/2006/main">
                  <a:graphicData uri="http://schemas.microsoft.com/office/word/2010/wordprocessingShape">
                    <wps:wsp>
                      <wps:cNvSpPr/>
                      <wps:spPr>
                        <a:xfrm>
                          <a:off x="0" y="0"/>
                          <a:ext cx="6210300" cy="1127760"/>
                        </a:xfrm>
                        <a:prstGeom prst="triangle">
                          <a:avLst/>
                        </a:prstGeom>
                        <a:solidFill>
                          <a:srgbClr val="4472C4">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71978" id="Isosceles Triangle 3" o:spid="_x0000_s1026" type="#_x0000_t5" style="position:absolute;margin-left:372.6pt;margin-top:-52.7pt;width:489pt;height:8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" fillcolor="#2f5597" stroked="f" strokeweight="1pt">
                <w10:wrap anchorx="margin"/>
              </v:shape>
            </w:pict>
          </mc:Fallback>
        </mc:AlternateContent>
      </w:r>
      <w:r w:rsidRPr="00A0541C">
        <w:rPr>
          <w:b/>
          <w:bCs/>
          <w:sz w:val="36"/>
          <w:szCs w:val="36"/>
        </w:rPr>
        <w:t>2017 TOURNAMENT TEAM OPPORTUNITIES</w:t>
      </w:r>
      <w:bookmarkStart w:id="0" w:name="_GoBack"/>
      <w:bookmarkEnd w:id="0"/>
    </w:p>
    <w:p w:rsidR="00A0541C" w:rsidRPr="00A0541C" w:rsidRDefault="00A0541C" w:rsidP="00A0541C">
      <w:r w:rsidRPr="00A0541C">
        <w:rPr>
          <w:b/>
          <w:bCs/>
        </w:rPr>
        <w:br/>
      </w:r>
      <w:r w:rsidRPr="00A0541C">
        <w:t>The ORYA basketball program provides an opportunity for players who are looking to experience more challenging practice and play than what the regular basketball season offers in the form of a tournament team participation. The ORYA Basketball tournament team opportunity provides players additional practice time and experience in stronger competition play.</w:t>
      </w:r>
      <w:r w:rsidRPr="00A0541C">
        <w:br/>
      </w:r>
    </w:p>
    <w:p w:rsidR="00A0541C" w:rsidRPr="00A0541C" w:rsidRDefault="00A0541C" w:rsidP="00A0541C">
      <w:r w:rsidRPr="00A0541C">
        <w:rPr>
          <w:b/>
          <w:bCs/>
          <w:u w:val="single"/>
        </w:rPr>
        <w:t>ROSTER SELECTION</w:t>
      </w:r>
      <w:r w:rsidRPr="00A0541C">
        <w:rPr>
          <w:b/>
          <w:bCs/>
        </w:rPr>
        <w:br/>
      </w:r>
      <w:r w:rsidRPr="00A0541C">
        <w:t>Roster sizes will be between 9-15.</w:t>
      </w:r>
      <w:r w:rsidRPr="00A0541C">
        <w:rPr>
          <w:b/>
          <w:bCs/>
        </w:rPr>
        <w:t> </w:t>
      </w:r>
      <w:r w:rsidRPr="00A0541C">
        <w:t>Age group coaches will be responsible for nominating and ranking players based on season practice and play. Players skill, participation level, and overall attitude will be factors for tournament team nomination.  These results will be analyzed and the team selected by the age group coordinator in consultation with the Basketball program coordinator.</w:t>
      </w:r>
    </w:p>
    <w:p w:rsidR="00A0541C" w:rsidRPr="00A0541C" w:rsidRDefault="00A0541C" w:rsidP="00A0541C">
      <w:pPr>
        <w:numPr>
          <w:ilvl w:val="0"/>
          <w:numId w:val="1"/>
        </w:numPr>
      </w:pPr>
      <w:r w:rsidRPr="00A0541C">
        <w:t>If two players are of equal ability, the priority will go to the player in the higher grade, i.e. an 8th grader would get priority over a 7th grader</w:t>
      </w:r>
    </w:p>
    <w:p w:rsidR="00A0541C" w:rsidRPr="00A0541C" w:rsidRDefault="00A0541C" w:rsidP="00A0541C">
      <w:pPr>
        <w:numPr>
          <w:ilvl w:val="0"/>
          <w:numId w:val="1"/>
        </w:numPr>
      </w:pPr>
      <w:r w:rsidRPr="00A0541C">
        <w:t> In the case of an injured player, selection would be determined by special request to the age group coordinator and Basketball program coordinator. </w:t>
      </w:r>
    </w:p>
    <w:p w:rsidR="00A0541C" w:rsidRPr="00A0541C" w:rsidRDefault="00A0541C" w:rsidP="00A0541C">
      <w:pPr>
        <w:numPr>
          <w:ilvl w:val="0"/>
          <w:numId w:val="1"/>
        </w:numPr>
      </w:pPr>
      <w:r w:rsidRPr="00A0541C">
        <w:t> In cases where a player has been “playing up” for the regular season, i.e. a 4th grader playing up with a 5th-6th grade team, that player will ONLY be eligible for nomination for a 5th-6th grade tournament team. Players “playing up” will not be eligible for nomination for their ACTUAL grade level tournament team</w:t>
      </w:r>
    </w:p>
    <w:p w:rsidR="00A0541C" w:rsidRPr="00A0541C" w:rsidRDefault="00A0541C" w:rsidP="00A0541C">
      <w:r w:rsidRPr="00A0541C">
        <w:rPr>
          <w:b/>
          <w:bCs/>
          <w:u w:val="single"/>
        </w:rPr>
        <w:t>COACH SELECTION</w:t>
      </w:r>
      <w:r w:rsidRPr="00A0541C">
        <w:rPr>
          <w:b/>
          <w:bCs/>
        </w:rPr>
        <w:br/>
      </w:r>
      <w:r w:rsidRPr="00A0541C">
        <w:t>Tournament team coaches are selected by the age group coordinator and the Basketball program coordinator.  Coaches are chosen based on their proven ability to teach the fundamentals of the game, run substantive practices, treat kids, referees and parents with respect, and maintain a professional presence on and off the court.</w:t>
      </w:r>
      <w:r w:rsidRPr="00A0541C">
        <w:br/>
      </w:r>
      <w:r w:rsidRPr="00A0541C">
        <w:br/>
      </w:r>
      <w:r w:rsidRPr="00A0541C">
        <w:rPr>
          <w:b/>
          <w:bCs/>
          <w:i/>
          <w:iCs/>
        </w:rPr>
        <w:t>Coaches interested in being a tournament team coach should reach out to the age group coordinator with their request.</w:t>
      </w:r>
    </w:p>
    <w:p w:rsidR="00A0541C" w:rsidRPr="00A0541C" w:rsidRDefault="00A0541C" w:rsidP="00A0541C">
      <w:r w:rsidRPr="00A0541C">
        <w:rPr>
          <w:b/>
          <w:bCs/>
          <w:u w:val="single"/>
        </w:rPr>
        <w:t>SEASON</w:t>
      </w:r>
      <w:r w:rsidRPr="00A0541C">
        <w:rPr>
          <w:b/>
          <w:bCs/>
        </w:rPr>
        <w:br/>
      </w:r>
      <w:r w:rsidRPr="00A0541C">
        <w:t>Practices will be held on Sundays, ONLY until the regular basketball season is over, this is due to facility scheduling. Practices start around early February or later. Once regular season practices are completed, tournament team practices will increase to 2-3x per week, practice days and times will be decided upon by facility availability.</w:t>
      </w:r>
      <w:r w:rsidRPr="00A0541C">
        <w:br/>
      </w:r>
      <w:r w:rsidRPr="00A0541C">
        <w:br/>
        <w:t>The basketball tournament season will encompass 1-4 tournaments per team, dependent on age group and availability of tournaments. The ORYA Basketball tournament will be 1 of the tournaments the team participates in. </w:t>
      </w:r>
      <w:r w:rsidRPr="00A0541C">
        <w:rPr>
          <w:b/>
          <w:bCs/>
          <w:i/>
          <w:iCs/>
        </w:rPr>
        <w:t>Families of selected players will be expected to volunteer in some aspect of the ORYA Basketball tournament. </w:t>
      </w:r>
      <w:r w:rsidRPr="00A0541C">
        <w:t>Participation in other tournaments will be decided upon by the tournament team coach in consultation with the age group coordinator and Basketball program coordinator.</w:t>
      </w:r>
    </w:p>
    <w:p w:rsidR="00A0541C" w:rsidRPr="00A0541C" w:rsidRDefault="00A0541C" w:rsidP="00A0541C">
      <w:r w:rsidRPr="00A0541C">
        <w:rPr>
          <w:b/>
          <w:bCs/>
        </w:rPr>
        <w:lastRenderedPageBreak/>
        <w:t>Playing time is NOT equal on tournament teams.</w:t>
      </w:r>
      <w:r w:rsidRPr="00A0541C">
        <w:t> Game play, size of team, and tournament requirements will dictate playing time along with player attitude and participation. All players should expect to play in games no matter what.</w:t>
      </w:r>
      <w:r w:rsidRPr="00A0541C">
        <w:br/>
      </w:r>
      <w:r w:rsidRPr="00A0541C">
        <w:br/>
      </w:r>
      <w:r w:rsidRPr="00A0541C">
        <w:rPr>
          <w:b/>
          <w:bCs/>
          <w:u w:val="single"/>
        </w:rPr>
        <w:t>TOURNAMENT TEAM REGISTRATION COST</w:t>
      </w:r>
      <w:r w:rsidRPr="00A0541C">
        <w:rPr>
          <w:b/>
          <w:bCs/>
        </w:rPr>
        <w:br/>
      </w:r>
      <w:r w:rsidRPr="00A0541C">
        <w:rPr>
          <w:b/>
          <w:bCs/>
          <w:i/>
          <w:iCs/>
        </w:rPr>
        <w:t>Participants on a tournament team will have varying registration costs, due to the number of tournaments a team participates in. Tournament participation is generally $20 per player, per tournament. Tournament team registrations will require a deposit of $20 with the calculated, remaining cost communicated once your full schedule is determined.</w:t>
      </w:r>
    </w:p>
    <w:p w:rsidR="003D1D2B" w:rsidRDefault="003D1D2B"/>
    <w:sectPr w:rsidR="003D1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CE0"/>
    <w:multiLevelType w:val="multilevel"/>
    <w:tmpl w:val="373EA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1C"/>
    <w:rsid w:val="003D1D2B"/>
    <w:rsid w:val="00A0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8111"/>
  <w15:chartTrackingRefBased/>
  <w15:docId w15:val="{6B1BA05B-39C4-437C-8F16-2AC4D7CF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7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director@oryarec.org</dc:creator>
  <cp:keywords/>
  <dc:description/>
  <cp:lastModifiedBy>director@oryarec.org</cp:lastModifiedBy>
  <cp:revision>1</cp:revision>
  <dcterms:created xsi:type="dcterms:W3CDTF">2017-03-01T18:53:00Z</dcterms:created>
  <dcterms:modified xsi:type="dcterms:W3CDTF">2017-03-01T19:00:00Z</dcterms:modified>
</cp:coreProperties>
</file>